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AE67C">
      <w:pPr>
        <w:rPr>
          <w:color w:val="auto"/>
        </w:rPr>
      </w:pPr>
    </w:p>
    <w:p w14:paraId="64F8EE93">
      <w:pPr>
        <w:pStyle w:val="9"/>
        <w:ind w:left="1" w:firstLine="0" w:firstLineChars="0"/>
        <w:jc w:val="center"/>
        <w:rPr>
          <w:rFonts w:ascii="方正小标宋_GBK" w:hAnsi="Times New Roman" w:eastAsia="方正小标宋_GBK" w:cs="Times New Roman"/>
          <w:b/>
          <w:color w:val="auto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b/>
          <w:color w:val="auto"/>
          <w:sz w:val="36"/>
          <w:szCs w:val="36"/>
        </w:rPr>
        <w:t>拟提名202</w:t>
      </w:r>
      <w:r>
        <w:rPr>
          <w:rFonts w:hint="eastAsia" w:ascii="方正小标宋_GBK" w:hAnsi="Times New Roman" w:eastAsia="方正小标宋_GBK" w:cs="Times New Roman"/>
          <w:b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_GBK" w:hAnsi="Times New Roman" w:eastAsia="方正小标宋_GBK" w:cs="Times New Roman"/>
          <w:b/>
          <w:color w:val="auto"/>
          <w:sz w:val="36"/>
          <w:szCs w:val="36"/>
        </w:rPr>
        <w:t>年度重庆市科学技术奖公示材料</w:t>
      </w:r>
    </w:p>
    <w:p w14:paraId="3CE55AD7">
      <w:pPr>
        <w:pStyle w:val="9"/>
        <w:ind w:left="420" w:firstLine="0" w:firstLineChars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14:paraId="45DAB0FD">
      <w:pPr>
        <w:pStyle w:val="9"/>
        <w:ind w:left="420" w:firstLine="0" w:firstLineChars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14:paraId="71C4AD4D">
      <w:pPr>
        <w:pStyle w:val="9"/>
        <w:numPr>
          <w:ilvl w:val="0"/>
          <w:numId w:val="1"/>
        </w:numPr>
        <w:snapToGrid w:val="0"/>
        <w:spacing w:line="500" w:lineRule="exact"/>
        <w:ind w:left="640" w:hanging="640" w:hangingChars="200"/>
        <w:rPr>
          <w:rFonts w:hint="eastAsia" w:ascii="方正黑体_GBK" w:eastAsia="方正黑体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项目名称：非常规储层岩石物理与地震反演理论研究</w:t>
      </w:r>
    </w:p>
    <w:p w14:paraId="2139698C">
      <w:pPr>
        <w:pStyle w:val="9"/>
        <w:numPr>
          <w:ilvl w:val="0"/>
          <w:numId w:val="1"/>
        </w:numPr>
        <w:snapToGrid w:val="0"/>
        <w:spacing w:line="500" w:lineRule="exact"/>
        <w:ind w:left="640" w:hanging="640" w:hangingChars="200"/>
        <w:rPr>
          <w:rFonts w:ascii="方正黑体_GBK" w:eastAsia="方正黑体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提名奖种、等级：重庆市自然科学奖</w:t>
      </w:r>
      <w:r>
        <w:rPr>
          <w:rFonts w:hint="eastAsia" w:ascii="方正黑体_GBK" w:eastAsia="方正黑体_GBK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黑体_GBK" w:eastAsia="方正黑体_GBK"/>
          <w:color w:val="auto"/>
          <w:sz w:val="32"/>
          <w:szCs w:val="32"/>
        </w:rPr>
        <w:t xml:space="preserve">等奖 </w:t>
      </w:r>
    </w:p>
    <w:p w14:paraId="640F99BC">
      <w:pPr>
        <w:pStyle w:val="9"/>
        <w:numPr>
          <w:ilvl w:val="0"/>
          <w:numId w:val="1"/>
        </w:numPr>
        <w:snapToGrid w:val="0"/>
        <w:spacing w:line="500" w:lineRule="exact"/>
        <w:ind w:left="640" w:hanging="640" w:hangingChars="200"/>
        <w:rPr>
          <w:rFonts w:ascii="方正黑体_GBK" w:eastAsia="方正黑体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提名单位：重庆高新技术产业开发区管理委员会</w:t>
      </w:r>
    </w:p>
    <w:p w14:paraId="3292DC07">
      <w:pPr>
        <w:pStyle w:val="9"/>
        <w:numPr>
          <w:ilvl w:val="0"/>
          <w:numId w:val="1"/>
        </w:numPr>
        <w:snapToGrid w:val="0"/>
        <w:spacing w:line="500" w:lineRule="exact"/>
        <w:ind w:left="640" w:hanging="640" w:hangingChars="200"/>
        <w:rPr>
          <w:rFonts w:hint="eastAsia" w:ascii="方正黑体_GBK" w:eastAsia="方正黑体_GBK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方正黑体_GBK" w:eastAsia="方正黑体_GBK"/>
          <w:sz w:val="32"/>
          <w:szCs w:val="32"/>
        </w:rPr>
        <w:t>主要完成人及完成单位</w:t>
      </w:r>
      <w:r>
        <w:rPr>
          <w:rFonts w:hint="eastAsia" w:ascii="方正黑体_GBK" w:eastAsia="方正黑体_GBK"/>
          <w:color w:val="auto"/>
          <w:sz w:val="32"/>
          <w:szCs w:val="32"/>
        </w:rPr>
        <w:t>：重庆科技大学、湖南科技大学</w:t>
      </w:r>
    </w:p>
    <w:p w14:paraId="34C9224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rPr>
          <w:rFonts w:hint="eastAsia" w:ascii="Times New Roman" w:hAnsi="Times New Roman" w:eastAsia="宋体"/>
          <w:bCs/>
          <w:color w:val="auto"/>
          <w:sz w:val="24"/>
          <w:szCs w:val="32"/>
        </w:rPr>
      </w:pP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廖建平：教授、博士、博导，重庆市学术技术带头人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  <w:lang w:val="en-US" w:eastAsia="zh-CN"/>
        </w:rPr>
        <w:t>2024年度地球物理学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，重庆科技大学（曾经工作单位：湖南科技大学）。本人负责组织和实施本研究，主持了支撑项目国家自然科学基金面上(41874156)：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fldChar w:fldCharType="begin"/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instrText xml:space="preserve"> HYPERLINK \l "##" \h </w:instrTex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fldChar w:fldCharType="separate"/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三维各向异性裂缝探测的纵波地震响应方法研究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fldChar w:fldCharType="end"/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。主持了支撑项目国家自然科学基金面上项目(42074167)：部分饱和岩石的粘声波频变各向异性理论研究。研究了部分饱和岩石的粘声波频变各向异性理论研究。是科学发现点</w:t>
      </w:r>
      <w:r>
        <w:rPr>
          <w:rFonts w:hint="default" w:ascii="Times New Roman" w:hAnsi="Times New Roman" w:eastAsia="宋体"/>
          <w:bCs/>
          <w:color w:val="auto"/>
          <w:sz w:val="24"/>
          <w:szCs w:val="32"/>
        </w:rPr>
        <w:t>①②③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④⑤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  <w:lang w:eastAsia="zh-CN"/>
        </w:rPr>
        <w:t>的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  <w:lang w:val="en-US" w:eastAsia="zh-CN"/>
        </w:rPr>
        <w:t>主要贡献者之一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，是论文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  <w:lang w:val="en-US" w:eastAsia="zh-CN"/>
        </w:rPr>
        <w:t>1-13，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论文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  <w:lang w:val="en-US" w:eastAsia="zh-CN"/>
        </w:rPr>
        <w:t>16-18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与论文20的主要作者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  <w:lang w:val="en-US" w:eastAsia="zh-CN"/>
        </w:rPr>
        <w:t>之一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。</w:t>
      </w:r>
    </w:p>
    <w:p w14:paraId="638B228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rPr>
          <w:rFonts w:ascii="Times New Roman" w:hAnsi="Times New Roman" w:eastAsia="宋体"/>
          <w:color w:val="auto"/>
          <w:sz w:val="24"/>
          <w:szCs w:val="32"/>
        </w:rPr>
      </w:pP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周林：博士、副教授，硕导，湖南科技大学，提出科学发现点“基于Zoeppritz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</w:rPr>
        <w:t>方程的</w:t>
      </w:r>
      <w:bookmarkStart w:id="0" w:name="_Hlk189213354"/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</w:rPr>
        <w:t>储层参数高精度反演理论与方法</w:t>
      </w:r>
      <w:bookmarkEnd w:id="0"/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</w:rPr>
        <w:t>”和科学发现点“基于高精度反射系数方程的VTI介质非线性反演理论与方法”，是论文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  <w:lang w:val="en-US" w:eastAsia="zh-CN"/>
        </w:rPr>
        <w:t>3-5，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</w:rPr>
        <w:t>论文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  <w:lang w:val="en-US" w:eastAsia="zh-CN"/>
        </w:rPr>
        <w:t>14-19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</w:rPr>
        <w:t>的第一作者。通过对比可以看出，新方法的反演结果的精度、纵向分辨率横向连续性均优于传统方法，充分体现了新方法优势。对理论数据和中国某工区实际地震资料进行测试，证实新方法能够获取高精度的各向异性参数反演结果。</w:t>
      </w:r>
    </w:p>
    <w:p w14:paraId="12FD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auto"/>
          <w:sz w:val="24"/>
          <w:szCs w:val="32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</w:rPr>
        <w:t>刘和秀：博士、讲师，重庆科技大学（曾经工作单位：湖南科技大学），是论文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  <w:lang w:val="en-US" w:eastAsia="zh-CN"/>
        </w:rPr>
        <w:t>8，9，11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32"/>
        </w:rPr>
        <w:t>的主要完成人之一，是国家自然科学基金面上(41874156)和国家自然科学基金面上(42074167)的主要完成人之一。</w:t>
      </w:r>
    </w:p>
    <w:p w14:paraId="545590B9">
      <w:pPr>
        <w:pStyle w:val="9"/>
        <w:numPr>
          <w:ilvl w:val="0"/>
          <w:numId w:val="1"/>
        </w:numPr>
        <w:snapToGrid w:val="0"/>
        <w:spacing w:line="500" w:lineRule="exact"/>
        <w:ind w:left="640" w:hanging="640" w:hanging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代表性论文专著目录（自然科学奖适用）</w:t>
      </w:r>
    </w:p>
    <w:p w14:paraId="3E2B7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ascii="Times New Roman" w:hAnsi="Times New Roman" w:eastAsia="宋体"/>
          <w:bCs/>
          <w:color w:val="auto"/>
          <w:sz w:val="24"/>
          <w:szCs w:val="32"/>
        </w:rPr>
      </w:pP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5篇代表性论文专著目录（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*代表通讯作者</w:t>
      </w:r>
      <w:r>
        <w:rPr>
          <w:rFonts w:hint="eastAsia" w:ascii="Times New Roman" w:hAnsi="Times New Roman" w:eastAsia="宋体"/>
          <w:bCs/>
          <w:color w:val="auto"/>
          <w:sz w:val="24"/>
          <w:szCs w:val="32"/>
        </w:rPr>
        <w:t>）：</w:t>
      </w:r>
    </w:p>
    <w:p w14:paraId="3CAAF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(1)</w:t>
      </w:r>
      <w:r>
        <w:rPr>
          <w:rFonts w:ascii="Times New Roman" w:hAnsi="Times New Roman" w:eastAsia="宋体"/>
          <w:b w:val="0"/>
          <w:bCs w:val="0"/>
          <w:color w:val="auto"/>
          <w:kern w:val="2"/>
          <w:sz w:val="24"/>
          <w:szCs w:val="21"/>
          <w:lang w:eastAsia="zh-CN"/>
        </w:rPr>
        <w:t>Jianping Liao</w:t>
      </w:r>
      <w:r>
        <w:rPr>
          <w:rFonts w:hint="eastAsia" w:ascii="Times New Roman" w:hAnsi="Times New Roman" w:eastAsia="宋体"/>
          <w:b w:val="0"/>
          <w:bCs w:val="0"/>
          <w:color w:val="auto"/>
          <w:kern w:val="2"/>
          <w:sz w:val="24"/>
          <w:szCs w:val="21"/>
          <w:lang w:eastAsia="zh-CN"/>
        </w:rPr>
        <w:t>,</w: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t>Ping Wen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lang w:eastAsia="zh-CN"/>
        </w:rPr>
        <w:t>,</w: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t>Junxin Guo*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lang w:eastAsia="zh-CN"/>
        </w:rPr>
        <w:t>,</w: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t>Lin Zhou. Seismic dispersion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lang w:eastAsia="zh-CN"/>
        </w:rPr>
        <w:t>,</w: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t>attenuation and frequency-dependent anisotropy in a fluid-saturated porous periodically layered medium, Geophysical Journal International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lang w:eastAsia="zh-CN"/>
        </w:rPr>
        <w:t>,</w: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t>2023</w:t>
      </w:r>
      <w:r>
        <w:rPr>
          <w:rFonts w:hint="eastAsia" w:ascii="Times New Roman" w:hAnsi="Times New Roman" w:eastAsia="宋体"/>
          <w:b w:val="0"/>
          <w:bCs w:val="0"/>
          <w:color w:val="auto"/>
          <w:sz w:val="24"/>
          <w:lang w:eastAsia="zh-CN"/>
        </w:rPr>
        <w:t>,</w: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t>234(1): 331–345, </w: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fldChar w:fldCharType="begin"/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instrText xml:space="preserve"> HYPERLINK "https://doi.org/10.1093/gji/ggad080" </w:instrTex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fldChar w:fldCharType="separate"/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t>https://doi.org/10.1093/gji/ggad080</w:t>
      </w:r>
      <w:r>
        <w:rPr>
          <w:rFonts w:ascii="Times New Roman" w:hAnsi="Times New Roman" w:eastAsia="宋体"/>
          <w:b w:val="0"/>
          <w:bCs w:val="0"/>
          <w:color w:val="auto"/>
          <w:sz w:val="24"/>
        </w:rPr>
        <w:fldChar w:fldCharType="end"/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. </w:t>
      </w:r>
    </w:p>
    <w:p w14:paraId="61FA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(</w:t>
      </w:r>
      <w:r>
        <w:rPr>
          <w:rFonts w:hint="eastAsia" w:ascii="Times New Roman" w:hAnsi="Times New Roman" w:eastAsia="宋体" w:cs="Calibri"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t>Yanlin Zhao,Jingzhou Tang,Yu Chen,Lianyang Zhang,Weijun Wang,Jianping Liao,Hydromechanical coupling tests for mechanical and permeability characteristics of fractured limestone in complete stress–strain process,Environmental Earth Sciences,2016.12.24,(76)：1~18.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 </w:t>
      </w:r>
    </w:p>
    <w:p w14:paraId="4FE53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(</w:t>
      </w:r>
      <w:r>
        <w:rPr>
          <w:rFonts w:hint="eastAsia" w:ascii="Times New Roman" w:hAnsi="Times New Roman" w:eastAsia="宋体" w:cs="Calibri"/>
          <w:color w:val="auto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</w:rPr>
        <w:t xml:space="preserve">Lin Zhou, Jingye Li, Cheng Yuan, et al. 2022. Bayesian deterministic inversion based on the exact reflection coefficients equations of transversely isotropic media with a vertical symmetry axis. IEEE Transactions on Geoscience and Remote Sensing, 60, 1–15. 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 </w:t>
      </w:r>
    </w:p>
    <w:p w14:paraId="18BE85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(</w:t>
      </w:r>
      <w:r>
        <w:rPr>
          <w:rFonts w:hint="eastAsia" w:ascii="Times New Roman" w:hAnsi="Times New Roman" w:eastAsia="宋体" w:cs="Calibri"/>
          <w:color w:val="auto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</w:rPr>
        <w:t>Lin Zhou*, Zhuochao Chen, Jingye Li, et al. 2020. Nonlinear amplitude versus angle inversion for transversely isotropic media with vertical symmetry axis using new weak anisotropy approximation equations. Petroleum Science, 17, 628–644.</w:t>
      </w:r>
    </w:p>
    <w:p w14:paraId="56F47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1"/>
        </w:rPr>
        <w:t>(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1"/>
        </w:rPr>
        <w:t>)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</w:rPr>
        <w:t xml:space="preserve">Lin Zhou*, Xingye Liu, Jingye Li, et al. 2021. Robust AVO inversion for the fluid factor and shear modulus. Geophysics, 86(4), R471–R483. </w:t>
      </w:r>
    </w:p>
    <w:p w14:paraId="797E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具体科技计划、基金的名称和编号：</w:t>
      </w:r>
    </w:p>
    <w:p w14:paraId="379FCB8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(1)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国家自然科学基金面上项目(41874156)：</w:t>
      </w:r>
      <w:r>
        <w:rPr>
          <w:rFonts w:ascii="Times New Roman" w:hAnsi="Times New Roman" w:eastAsia="宋体"/>
          <w:color w:val="auto"/>
          <w:sz w:val="24"/>
        </w:rPr>
        <w:fldChar w:fldCharType="begin"/>
      </w:r>
      <w:r>
        <w:rPr>
          <w:rFonts w:ascii="Times New Roman" w:hAnsi="Times New Roman" w:eastAsia="宋体"/>
          <w:color w:val="auto"/>
          <w:sz w:val="24"/>
        </w:rPr>
        <w:instrText xml:space="preserve"> HYPERLINK \l "##" \h </w:instrText>
      </w:r>
      <w:r>
        <w:rPr>
          <w:rFonts w:ascii="Times New Roman" w:hAnsi="Times New Roman" w:eastAsia="宋体"/>
          <w:color w:val="auto"/>
          <w:sz w:val="24"/>
        </w:rPr>
        <w:fldChar w:fldCharType="separate"/>
      </w:r>
      <w:r>
        <w:rPr>
          <w:rFonts w:hint="eastAsia" w:ascii="Times New Roman" w:hAnsi="Times New Roman" w:eastAsia="宋体"/>
          <w:color w:val="auto"/>
          <w:sz w:val="24"/>
          <w:szCs w:val="24"/>
        </w:rPr>
        <w:t>三维各向异性裂缝探测的纵波地震响应方法研究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，2019.1</w:t>
      </w:r>
      <w:r>
        <w:rPr>
          <w:rFonts w:ascii="Times New Roman" w:hAnsi="Times New Roman" w:eastAsia="宋体"/>
          <w:color w:val="auto"/>
          <w:sz w:val="24"/>
          <w:szCs w:val="24"/>
        </w:rPr>
        <w:t>-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2022.12。廖建平主持。</w:t>
      </w:r>
    </w:p>
    <w:p w14:paraId="3497B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(2)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国家自然科学基金面上项目(42074167)：部分饱和岩石的粘声波频变各向异性理论研究，2021.1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2024.12。廖建平主持。</w:t>
      </w:r>
    </w:p>
    <w:p w14:paraId="517667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Calibri"/>
          <w:color w:val="auto"/>
          <w:sz w:val="24"/>
          <w:szCs w:val="24"/>
        </w:rPr>
        <w:t>(3)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国家自然科学基金青年基金(41904116)：基于修正近似公式的</w:t>
      </w:r>
      <w:r>
        <w:rPr>
          <w:rFonts w:ascii="Times New Roman" w:hAnsi="Times New Roman" w:eastAsia="宋体"/>
          <w:color w:val="auto"/>
          <w:sz w:val="24"/>
          <w:szCs w:val="24"/>
        </w:rPr>
        <w:t>HTI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介质高分辨率</w:t>
      </w:r>
      <w:r>
        <w:rPr>
          <w:rFonts w:ascii="Times New Roman" w:hAnsi="Times New Roman" w:eastAsia="宋体"/>
          <w:color w:val="auto"/>
          <w:sz w:val="24"/>
          <w:szCs w:val="24"/>
        </w:rPr>
        <w:t>AVAZ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非线性反演理论与方法研究，</w:t>
      </w:r>
      <w:r>
        <w:rPr>
          <w:rFonts w:ascii="Times New Roman" w:hAnsi="Times New Roman" w:eastAsia="宋体"/>
          <w:color w:val="auto"/>
          <w:sz w:val="24"/>
          <w:szCs w:val="24"/>
        </w:rPr>
        <w:t>2020.1-2022.12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。周林主持。</w:t>
      </w:r>
    </w:p>
    <w:p w14:paraId="09BD1E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Times New Roman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个授权发明专利：</w:t>
      </w:r>
    </w:p>
    <w:p w14:paraId="7D0785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contextualSpacing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(1)廖建平,文萍,郭俊鑫,刘和秀,张青,周林,徐云贵。计算水平层状介质中沿层面方向纵波的频散衰减的方法。专利号为202210615915.8</w:t>
      </w:r>
    </w:p>
    <w:p w14:paraId="34B392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contextualSpacing/>
        <w:jc w:val="both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(2)廖建平,张青,郭俊鑫,刘和秀,周林,徐云贵。一种部分饱和岩石的粘弹性波频变各向异性正演模拟方法。专利号为 ZL202210399197.5</w:t>
      </w:r>
    </w:p>
    <w:p w14:paraId="23DC08B7">
      <w:pPr>
        <w:pStyle w:val="9"/>
        <w:numPr>
          <w:ilvl w:val="0"/>
          <w:numId w:val="1"/>
        </w:numPr>
        <w:snapToGrid w:val="0"/>
        <w:spacing w:line="500" w:lineRule="exact"/>
        <w:ind w:left="640" w:hanging="640" w:hangingChars="200"/>
        <w:rPr>
          <w:rFonts w:ascii="方正黑体_GBK" w:eastAsia="方正黑体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需要说明的其它问题</w:t>
      </w:r>
    </w:p>
    <w:p w14:paraId="10B4A5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无。</w:t>
      </w:r>
    </w:p>
    <w:p w14:paraId="6FCCE6E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65359"/>
    <w:multiLevelType w:val="multilevel"/>
    <w:tmpl w:val="3F265359"/>
    <w:lvl w:ilvl="0" w:tentative="0">
      <w:start w:val="1"/>
      <w:numFmt w:val="japaneseCounting"/>
      <w:lvlText w:val="%1、"/>
      <w:lvlJc w:val="left"/>
      <w:pPr>
        <w:ind w:left="3538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DE"/>
    <w:rsid w:val="00122F8C"/>
    <w:rsid w:val="001A74EC"/>
    <w:rsid w:val="00235B67"/>
    <w:rsid w:val="00247410"/>
    <w:rsid w:val="002573F1"/>
    <w:rsid w:val="0027744C"/>
    <w:rsid w:val="00281CD5"/>
    <w:rsid w:val="002B13EF"/>
    <w:rsid w:val="002C771D"/>
    <w:rsid w:val="00300121"/>
    <w:rsid w:val="00397A65"/>
    <w:rsid w:val="00397B76"/>
    <w:rsid w:val="004269A1"/>
    <w:rsid w:val="00431D49"/>
    <w:rsid w:val="004327FC"/>
    <w:rsid w:val="004E616D"/>
    <w:rsid w:val="005E711F"/>
    <w:rsid w:val="005F1BEB"/>
    <w:rsid w:val="00742A6B"/>
    <w:rsid w:val="00753241"/>
    <w:rsid w:val="00844EB2"/>
    <w:rsid w:val="008E1984"/>
    <w:rsid w:val="00920615"/>
    <w:rsid w:val="009C7282"/>
    <w:rsid w:val="009E38F7"/>
    <w:rsid w:val="00B200EB"/>
    <w:rsid w:val="00B233DE"/>
    <w:rsid w:val="00B4525D"/>
    <w:rsid w:val="00B4722F"/>
    <w:rsid w:val="00B678EF"/>
    <w:rsid w:val="00C07E75"/>
    <w:rsid w:val="00C11035"/>
    <w:rsid w:val="00C24FC0"/>
    <w:rsid w:val="00C4144A"/>
    <w:rsid w:val="00C417F0"/>
    <w:rsid w:val="00D61A17"/>
    <w:rsid w:val="01B110AA"/>
    <w:rsid w:val="02692158"/>
    <w:rsid w:val="028E3199"/>
    <w:rsid w:val="0337738D"/>
    <w:rsid w:val="03726617"/>
    <w:rsid w:val="040D7268"/>
    <w:rsid w:val="049A5E25"/>
    <w:rsid w:val="04B50EB1"/>
    <w:rsid w:val="04D035F5"/>
    <w:rsid w:val="04E90B5B"/>
    <w:rsid w:val="05BB6053"/>
    <w:rsid w:val="060A6FDB"/>
    <w:rsid w:val="064922BF"/>
    <w:rsid w:val="06D33870"/>
    <w:rsid w:val="0797489E"/>
    <w:rsid w:val="07B92A66"/>
    <w:rsid w:val="07FC0BA5"/>
    <w:rsid w:val="090C4E18"/>
    <w:rsid w:val="091F0FEF"/>
    <w:rsid w:val="092D54BA"/>
    <w:rsid w:val="095347F5"/>
    <w:rsid w:val="097B71D6"/>
    <w:rsid w:val="09FE6E56"/>
    <w:rsid w:val="0A0D238C"/>
    <w:rsid w:val="0A236CE1"/>
    <w:rsid w:val="0A4F76B2"/>
    <w:rsid w:val="0A5B6057"/>
    <w:rsid w:val="0A6A44EC"/>
    <w:rsid w:val="0A9F5D59"/>
    <w:rsid w:val="0B3F14D4"/>
    <w:rsid w:val="0B9A670B"/>
    <w:rsid w:val="0BD7795F"/>
    <w:rsid w:val="0C006EB6"/>
    <w:rsid w:val="0C751537"/>
    <w:rsid w:val="0C984E5F"/>
    <w:rsid w:val="0CFB58CF"/>
    <w:rsid w:val="0D38267F"/>
    <w:rsid w:val="0D58062B"/>
    <w:rsid w:val="0D662D48"/>
    <w:rsid w:val="0DB42637"/>
    <w:rsid w:val="0E0B4C26"/>
    <w:rsid w:val="0E364E11"/>
    <w:rsid w:val="0E3E3CC5"/>
    <w:rsid w:val="0F2F1860"/>
    <w:rsid w:val="0F655282"/>
    <w:rsid w:val="10030D22"/>
    <w:rsid w:val="100E1475"/>
    <w:rsid w:val="103C2486"/>
    <w:rsid w:val="1042409D"/>
    <w:rsid w:val="104F21BA"/>
    <w:rsid w:val="10854F9A"/>
    <w:rsid w:val="10DC1574"/>
    <w:rsid w:val="10F60887"/>
    <w:rsid w:val="111927C8"/>
    <w:rsid w:val="11621A79"/>
    <w:rsid w:val="11627CCB"/>
    <w:rsid w:val="11B23646"/>
    <w:rsid w:val="11BF37BC"/>
    <w:rsid w:val="11E64458"/>
    <w:rsid w:val="12282CC2"/>
    <w:rsid w:val="129904F4"/>
    <w:rsid w:val="12D270D2"/>
    <w:rsid w:val="12E806A4"/>
    <w:rsid w:val="13427DB4"/>
    <w:rsid w:val="13511DA5"/>
    <w:rsid w:val="13CE33F5"/>
    <w:rsid w:val="13E7095B"/>
    <w:rsid w:val="14033ECF"/>
    <w:rsid w:val="143040B0"/>
    <w:rsid w:val="15CE3B81"/>
    <w:rsid w:val="161A6DC6"/>
    <w:rsid w:val="166F5BCA"/>
    <w:rsid w:val="17001735"/>
    <w:rsid w:val="17116D2F"/>
    <w:rsid w:val="171E4694"/>
    <w:rsid w:val="17475EAE"/>
    <w:rsid w:val="17822E75"/>
    <w:rsid w:val="18003D99"/>
    <w:rsid w:val="18131D1F"/>
    <w:rsid w:val="181B0BD3"/>
    <w:rsid w:val="18522621"/>
    <w:rsid w:val="18625F4B"/>
    <w:rsid w:val="18C80D5B"/>
    <w:rsid w:val="18CB25F9"/>
    <w:rsid w:val="18D712CB"/>
    <w:rsid w:val="1912647A"/>
    <w:rsid w:val="19520625"/>
    <w:rsid w:val="19612025"/>
    <w:rsid w:val="196B2FE3"/>
    <w:rsid w:val="1A3A7A37"/>
    <w:rsid w:val="1AB5530F"/>
    <w:rsid w:val="1AF13750"/>
    <w:rsid w:val="1BB158AD"/>
    <w:rsid w:val="1BEF65FF"/>
    <w:rsid w:val="1CEC0D90"/>
    <w:rsid w:val="1D3E783E"/>
    <w:rsid w:val="1D5D57EA"/>
    <w:rsid w:val="1D635C69"/>
    <w:rsid w:val="1D8773D9"/>
    <w:rsid w:val="1DDF26A3"/>
    <w:rsid w:val="1E7F010E"/>
    <w:rsid w:val="1E856051"/>
    <w:rsid w:val="1F971487"/>
    <w:rsid w:val="1FD75D28"/>
    <w:rsid w:val="208A0FEC"/>
    <w:rsid w:val="211A2370"/>
    <w:rsid w:val="21CE6534"/>
    <w:rsid w:val="21E32762"/>
    <w:rsid w:val="22034BB2"/>
    <w:rsid w:val="22145011"/>
    <w:rsid w:val="22327245"/>
    <w:rsid w:val="22B129EF"/>
    <w:rsid w:val="22EF5136"/>
    <w:rsid w:val="24AA1A26"/>
    <w:rsid w:val="24C7636B"/>
    <w:rsid w:val="25900E53"/>
    <w:rsid w:val="25F211C5"/>
    <w:rsid w:val="2604714B"/>
    <w:rsid w:val="2609379C"/>
    <w:rsid w:val="26C50688"/>
    <w:rsid w:val="273B094A"/>
    <w:rsid w:val="275B723E"/>
    <w:rsid w:val="28243AD4"/>
    <w:rsid w:val="28666C14"/>
    <w:rsid w:val="286D7229"/>
    <w:rsid w:val="289522DC"/>
    <w:rsid w:val="28CD7CC8"/>
    <w:rsid w:val="28FC05AD"/>
    <w:rsid w:val="292F2731"/>
    <w:rsid w:val="2A202079"/>
    <w:rsid w:val="2AF61758"/>
    <w:rsid w:val="2B05199B"/>
    <w:rsid w:val="2B065713"/>
    <w:rsid w:val="2B4F2E24"/>
    <w:rsid w:val="2C26606D"/>
    <w:rsid w:val="2D145EC5"/>
    <w:rsid w:val="2D6F134E"/>
    <w:rsid w:val="2D71156A"/>
    <w:rsid w:val="2DB43204"/>
    <w:rsid w:val="2DE55AB4"/>
    <w:rsid w:val="2DFA155F"/>
    <w:rsid w:val="2E0A5087"/>
    <w:rsid w:val="2E2E1209"/>
    <w:rsid w:val="2E9D638E"/>
    <w:rsid w:val="2EB45BB2"/>
    <w:rsid w:val="2ECB4CA9"/>
    <w:rsid w:val="2F212B1B"/>
    <w:rsid w:val="2F8310E0"/>
    <w:rsid w:val="2F947594"/>
    <w:rsid w:val="2FB7522E"/>
    <w:rsid w:val="2FB7755C"/>
    <w:rsid w:val="2FE75B13"/>
    <w:rsid w:val="302723B3"/>
    <w:rsid w:val="305F1B4D"/>
    <w:rsid w:val="30750EE5"/>
    <w:rsid w:val="307A6987"/>
    <w:rsid w:val="30CD2F5B"/>
    <w:rsid w:val="30FE1366"/>
    <w:rsid w:val="31490108"/>
    <w:rsid w:val="314A45AB"/>
    <w:rsid w:val="315471D8"/>
    <w:rsid w:val="31840158"/>
    <w:rsid w:val="3196159F"/>
    <w:rsid w:val="31E71DFA"/>
    <w:rsid w:val="32075FF9"/>
    <w:rsid w:val="324803BF"/>
    <w:rsid w:val="32B67A1F"/>
    <w:rsid w:val="32CB34CA"/>
    <w:rsid w:val="32D034CB"/>
    <w:rsid w:val="331C1F78"/>
    <w:rsid w:val="3321133C"/>
    <w:rsid w:val="3333106F"/>
    <w:rsid w:val="3355548A"/>
    <w:rsid w:val="335C6818"/>
    <w:rsid w:val="338B4A07"/>
    <w:rsid w:val="33DB598F"/>
    <w:rsid w:val="343D67B3"/>
    <w:rsid w:val="34692F9B"/>
    <w:rsid w:val="34A2025B"/>
    <w:rsid w:val="34A246FE"/>
    <w:rsid w:val="34AE4E51"/>
    <w:rsid w:val="34BA72F0"/>
    <w:rsid w:val="34EA39B0"/>
    <w:rsid w:val="3544233E"/>
    <w:rsid w:val="354E2190"/>
    <w:rsid w:val="35700359"/>
    <w:rsid w:val="358A766C"/>
    <w:rsid w:val="35A973C7"/>
    <w:rsid w:val="35B3528C"/>
    <w:rsid w:val="35F5260C"/>
    <w:rsid w:val="36494CE1"/>
    <w:rsid w:val="364A2958"/>
    <w:rsid w:val="366F23BE"/>
    <w:rsid w:val="37384EA6"/>
    <w:rsid w:val="373C1EC0"/>
    <w:rsid w:val="378F7B77"/>
    <w:rsid w:val="37C242B9"/>
    <w:rsid w:val="37C36E66"/>
    <w:rsid w:val="380F20AB"/>
    <w:rsid w:val="38561A88"/>
    <w:rsid w:val="38740160"/>
    <w:rsid w:val="3999726C"/>
    <w:rsid w:val="39D37108"/>
    <w:rsid w:val="3A007870"/>
    <w:rsid w:val="3AC70A1B"/>
    <w:rsid w:val="3ADD023E"/>
    <w:rsid w:val="3AE570F3"/>
    <w:rsid w:val="3B1D4ADF"/>
    <w:rsid w:val="3B331C0C"/>
    <w:rsid w:val="3B44358E"/>
    <w:rsid w:val="3B63548E"/>
    <w:rsid w:val="3B6874B1"/>
    <w:rsid w:val="3B8778CC"/>
    <w:rsid w:val="3B895CD0"/>
    <w:rsid w:val="3CF47AC1"/>
    <w:rsid w:val="3D581DFE"/>
    <w:rsid w:val="3D597924"/>
    <w:rsid w:val="3D9D3CB5"/>
    <w:rsid w:val="3E133F77"/>
    <w:rsid w:val="3EB23790"/>
    <w:rsid w:val="3EB968CD"/>
    <w:rsid w:val="3F3423F7"/>
    <w:rsid w:val="3F405A6E"/>
    <w:rsid w:val="3FBA0B4E"/>
    <w:rsid w:val="3FC577D2"/>
    <w:rsid w:val="3FDA4A0A"/>
    <w:rsid w:val="40050660"/>
    <w:rsid w:val="404E74E8"/>
    <w:rsid w:val="40E207B7"/>
    <w:rsid w:val="40E35E83"/>
    <w:rsid w:val="41055114"/>
    <w:rsid w:val="41171FD0"/>
    <w:rsid w:val="422E137F"/>
    <w:rsid w:val="42A11B51"/>
    <w:rsid w:val="42B15B0D"/>
    <w:rsid w:val="42EF4FB3"/>
    <w:rsid w:val="43010842"/>
    <w:rsid w:val="43092A55"/>
    <w:rsid w:val="44134CD1"/>
    <w:rsid w:val="45035AD6"/>
    <w:rsid w:val="45686B99"/>
    <w:rsid w:val="456F5F37"/>
    <w:rsid w:val="45796DEB"/>
    <w:rsid w:val="45F428E0"/>
    <w:rsid w:val="463F7FFF"/>
    <w:rsid w:val="46AD6DF1"/>
    <w:rsid w:val="46AF05B5"/>
    <w:rsid w:val="47304BF8"/>
    <w:rsid w:val="47BC742D"/>
    <w:rsid w:val="48013092"/>
    <w:rsid w:val="48213971"/>
    <w:rsid w:val="486E697A"/>
    <w:rsid w:val="48C742DC"/>
    <w:rsid w:val="492E6109"/>
    <w:rsid w:val="497B3CA3"/>
    <w:rsid w:val="4A1C2405"/>
    <w:rsid w:val="4A1E1CDA"/>
    <w:rsid w:val="4A8E02D7"/>
    <w:rsid w:val="4A954692"/>
    <w:rsid w:val="4AA04DE4"/>
    <w:rsid w:val="4AA246B9"/>
    <w:rsid w:val="4AA523FB"/>
    <w:rsid w:val="4B125CE2"/>
    <w:rsid w:val="4B4F0FFD"/>
    <w:rsid w:val="4C0E7353"/>
    <w:rsid w:val="4C250A7B"/>
    <w:rsid w:val="4CA010CC"/>
    <w:rsid w:val="4DB7491F"/>
    <w:rsid w:val="4E077249"/>
    <w:rsid w:val="4E1934E7"/>
    <w:rsid w:val="4E3077C3"/>
    <w:rsid w:val="4E683E6B"/>
    <w:rsid w:val="4E6C5709"/>
    <w:rsid w:val="4ED137BE"/>
    <w:rsid w:val="4EE334F2"/>
    <w:rsid w:val="4F44241B"/>
    <w:rsid w:val="503B1837"/>
    <w:rsid w:val="50707007"/>
    <w:rsid w:val="50827466"/>
    <w:rsid w:val="50C8299F"/>
    <w:rsid w:val="50E27F05"/>
    <w:rsid w:val="51501312"/>
    <w:rsid w:val="51EA0B55"/>
    <w:rsid w:val="520774F7"/>
    <w:rsid w:val="521E31BF"/>
    <w:rsid w:val="522B768A"/>
    <w:rsid w:val="529E60AD"/>
    <w:rsid w:val="52BF457A"/>
    <w:rsid w:val="533B38FC"/>
    <w:rsid w:val="537B63EF"/>
    <w:rsid w:val="53844F8A"/>
    <w:rsid w:val="538C6936"/>
    <w:rsid w:val="53B06098"/>
    <w:rsid w:val="53B65352"/>
    <w:rsid w:val="54414F42"/>
    <w:rsid w:val="54660E4D"/>
    <w:rsid w:val="549459BA"/>
    <w:rsid w:val="54CD67D6"/>
    <w:rsid w:val="54EF43AE"/>
    <w:rsid w:val="555D3FFE"/>
    <w:rsid w:val="55E53FF3"/>
    <w:rsid w:val="55EC5382"/>
    <w:rsid w:val="561A5A4B"/>
    <w:rsid w:val="56B61ABA"/>
    <w:rsid w:val="56D77DE0"/>
    <w:rsid w:val="57CF6D09"/>
    <w:rsid w:val="58040B43"/>
    <w:rsid w:val="582F5242"/>
    <w:rsid w:val="58AE2DC2"/>
    <w:rsid w:val="58C63E11"/>
    <w:rsid w:val="596516D3"/>
    <w:rsid w:val="59B241EC"/>
    <w:rsid w:val="5A7A6960"/>
    <w:rsid w:val="5B3402E5"/>
    <w:rsid w:val="5B4377F2"/>
    <w:rsid w:val="5BB701E0"/>
    <w:rsid w:val="5C225659"/>
    <w:rsid w:val="5C816A6F"/>
    <w:rsid w:val="5CE2128D"/>
    <w:rsid w:val="5CF07506"/>
    <w:rsid w:val="5D87291D"/>
    <w:rsid w:val="5DAB5B22"/>
    <w:rsid w:val="5DB42C29"/>
    <w:rsid w:val="5E483371"/>
    <w:rsid w:val="5F5B25CD"/>
    <w:rsid w:val="5FA665A1"/>
    <w:rsid w:val="5FDB1BE7"/>
    <w:rsid w:val="5FE91C23"/>
    <w:rsid w:val="613F6CAD"/>
    <w:rsid w:val="62322F68"/>
    <w:rsid w:val="62481B92"/>
    <w:rsid w:val="6260512D"/>
    <w:rsid w:val="63854488"/>
    <w:rsid w:val="63A86D8C"/>
    <w:rsid w:val="64340620"/>
    <w:rsid w:val="64504D2E"/>
    <w:rsid w:val="64DD4813"/>
    <w:rsid w:val="65071890"/>
    <w:rsid w:val="65313143"/>
    <w:rsid w:val="65476131"/>
    <w:rsid w:val="654F3EAE"/>
    <w:rsid w:val="661E2CB4"/>
    <w:rsid w:val="66AD46B9"/>
    <w:rsid w:val="66EE5A22"/>
    <w:rsid w:val="66F127F8"/>
    <w:rsid w:val="670544F5"/>
    <w:rsid w:val="67566AFF"/>
    <w:rsid w:val="677376B1"/>
    <w:rsid w:val="677E4A78"/>
    <w:rsid w:val="67C9107F"/>
    <w:rsid w:val="680D18B3"/>
    <w:rsid w:val="68442DFB"/>
    <w:rsid w:val="685E5C6B"/>
    <w:rsid w:val="68727C7E"/>
    <w:rsid w:val="68B37EC5"/>
    <w:rsid w:val="690F6F65"/>
    <w:rsid w:val="69766FE4"/>
    <w:rsid w:val="6A0769BD"/>
    <w:rsid w:val="6A1567FD"/>
    <w:rsid w:val="6AFB6C6A"/>
    <w:rsid w:val="6B4355EC"/>
    <w:rsid w:val="6B8E4AB9"/>
    <w:rsid w:val="6BCE135A"/>
    <w:rsid w:val="6C8251EB"/>
    <w:rsid w:val="6CA607CB"/>
    <w:rsid w:val="6D194857"/>
    <w:rsid w:val="6D894237"/>
    <w:rsid w:val="6D97577B"/>
    <w:rsid w:val="6E070B53"/>
    <w:rsid w:val="6E5A0C83"/>
    <w:rsid w:val="6ED722D3"/>
    <w:rsid w:val="6EE2214F"/>
    <w:rsid w:val="6F062D8F"/>
    <w:rsid w:val="6F765F90"/>
    <w:rsid w:val="70657DB3"/>
    <w:rsid w:val="70765FF6"/>
    <w:rsid w:val="708B7819"/>
    <w:rsid w:val="71092E34"/>
    <w:rsid w:val="711A32FB"/>
    <w:rsid w:val="716A5681"/>
    <w:rsid w:val="719374FA"/>
    <w:rsid w:val="71AF7537"/>
    <w:rsid w:val="72435ED2"/>
    <w:rsid w:val="7249173A"/>
    <w:rsid w:val="727662A7"/>
    <w:rsid w:val="72C1531E"/>
    <w:rsid w:val="734B1337"/>
    <w:rsid w:val="736425A4"/>
    <w:rsid w:val="740A3A87"/>
    <w:rsid w:val="74343D24"/>
    <w:rsid w:val="74940C67"/>
    <w:rsid w:val="749E63DE"/>
    <w:rsid w:val="752E4C17"/>
    <w:rsid w:val="754B57C9"/>
    <w:rsid w:val="75814997"/>
    <w:rsid w:val="75BD7AE6"/>
    <w:rsid w:val="75BF7F65"/>
    <w:rsid w:val="76426BCC"/>
    <w:rsid w:val="76A2220C"/>
    <w:rsid w:val="76E9529A"/>
    <w:rsid w:val="77000835"/>
    <w:rsid w:val="771D3195"/>
    <w:rsid w:val="77BD7438"/>
    <w:rsid w:val="785771FF"/>
    <w:rsid w:val="78994A9D"/>
    <w:rsid w:val="793842B6"/>
    <w:rsid w:val="799F7E92"/>
    <w:rsid w:val="79BC6C95"/>
    <w:rsid w:val="79D16AD3"/>
    <w:rsid w:val="7B5178B1"/>
    <w:rsid w:val="7B6732E5"/>
    <w:rsid w:val="7BE44282"/>
    <w:rsid w:val="7C296B5F"/>
    <w:rsid w:val="7C741AA9"/>
    <w:rsid w:val="7D3F20B7"/>
    <w:rsid w:val="7D563DCB"/>
    <w:rsid w:val="7EA1645A"/>
    <w:rsid w:val="7ECB1729"/>
    <w:rsid w:val="7F1B26B0"/>
    <w:rsid w:val="7F3217A8"/>
    <w:rsid w:val="7F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0"/>
    <w:pPr>
      <w:ind w:firstLine="4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1673</Words>
  <Characters>2815</Characters>
  <Lines>22</Lines>
  <Paragraphs>6</Paragraphs>
  <TotalTime>1</TotalTime>
  <ScaleCrop>false</ScaleCrop>
  <LinksUpToDate>false</LinksUpToDate>
  <CharactersWithSpaces>2960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2022-04-12T02:36:00Z</dcterms:created>
  <dc:creator>ASUS</dc:creator>
  <cp:lastModifiedBy>安徒生丢了童话</cp:lastModifiedBy>
  <dcterms:modified xsi:type="dcterms:W3CDTF">2026-01-26T00:15:59Z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eyJoZGlkIjoiMGJhMTc5ZDgwYmE5MjY5YzE2NTEwNGNjMTIxZTU4NTUiLCJ1c2VySWQiOiIxMTA2MzMxODE2In0=</vt:lpwstr>
  </property>
  <property fmtid="{D5CDD505-2E9C-101B-9397-08002B2CF9AE}" pid="3" name="KSOProductBuildVer">
    <vt:lpwstr>2052-12.1.0.24034</vt:lpwstr>
  </property>
  <property fmtid="{D5CDD505-2E9C-101B-9397-08002B2CF9AE}" pid="4" name="ICV">
    <vt:lpwstr>6649A0DDB30A4106B35DECFF8483315A_12</vt:lpwstr>
  </property>
</Properties>
</file>